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F1AB1" w14:textId="08AF1339" w:rsidR="00FD17D5" w:rsidRPr="000E1448" w:rsidRDefault="00FC52F7" w:rsidP="009D6EA4">
      <w:pPr>
        <w:tabs>
          <w:tab w:val="left" w:pos="540"/>
        </w:tabs>
        <w:autoSpaceDE w:val="0"/>
        <w:autoSpaceDN w:val="0"/>
        <w:adjustRightInd w:val="0"/>
        <w:spacing w:after="0" w:line="240" w:lineRule="auto"/>
        <w:jc w:val="both"/>
        <w:rPr>
          <w:rFonts w:cstheme="minorHAnsi"/>
          <w:b/>
          <w:color w:val="1F497D" w:themeColor="text2"/>
          <w:sz w:val="21"/>
          <w:szCs w:val="21"/>
        </w:rPr>
      </w:pPr>
      <w:r w:rsidRPr="000E1448">
        <w:rPr>
          <w:rFonts w:cstheme="minorHAnsi"/>
          <w:b/>
          <w:color w:val="1F497D" w:themeColor="text2"/>
          <w:sz w:val="21"/>
          <w:szCs w:val="21"/>
        </w:rPr>
        <w:t>QUARTERLY</w:t>
      </w:r>
      <w:r w:rsidR="00FD17D5" w:rsidRPr="000E1448">
        <w:rPr>
          <w:rFonts w:cstheme="minorHAnsi"/>
          <w:b/>
          <w:color w:val="1F497D" w:themeColor="text2"/>
          <w:sz w:val="21"/>
          <w:szCs w:val="21"/>
        </w:rPr>
        <w:t xml:space="preserve"> PROGRESS REPORT:</w:t>
      </w:r>
      <w:r w:rsidR="004B1BB5" w:rsidRPr="000E1448">
        <w:rPr>
          <w:rFonts w:cstheme="minorHAnsi"/>
          <w:b/>
          <w:color w:val="1F497D" w:themeColor="text2"/>
          <w:sz w:val="21"/>
          <w:szCs w:val="21"/>
        </w:rPr>
        <w:t xml:space="preserve"> </w:t>
      </w:r>
      <w:r w:rsidR="009B1186">
        <w:rPr>
          <w:rFonts w:cstheme="minorHAnsi"/>
          <w:b/>
          <w:color w:val="1F497D" w:themeColor="text2"/>
          <w:sz w:val="21"/>
          <w:szCs w:val="21"/>
        </w:rPr>
        <w:t>JULY</w:t>
      </w:r>
      <w:r w:rsidR="004B1BB5" w:rsidRPr="000E1448">
        <w:rPr>
          <w:rFonts w:cstheme="minorHAnsi"/>
          <w:b/>
          <w:color w:val="1F497D" w:themeColor="text2"/>
          <w:sz w:val="21"/>
          <w:szCs w:val="21"/>
        </w:rPr>
        <w:t xml:space="preserve"> TO </w:t>
      </w:r>
      <w:r w:rsidR="001F0484">
        <w:rPr>
          <w:rFonts w:cstheme="minorHAnsi"/>
          <w:b/>
          <w:color w:val="1F497D" w:themeColor="text2"/>
          <w:sz w:val="21"/>
          <w:szCs w:val="21"/>
        </w:rPr>
        <w:t>SEPTEMBER</w:t>
      </w:r>
      <w:r w:rsidR="004B1BB5" w:rsidRPr="000E1448">
        <w:rPr>
          <w:rFonts w:cstheme="minorHAnsi"/>
          <w:b/>
          <w:color w:val="1F497D" w:themeColor="text2"/>
          <w:sz w:val="21"/>
          <w:szCs w:val="21"/>
        </w:rPr>
        <w:t xml:space="preserve"> 2014</w:t>
      </w:r>
    </w:p>
    <w:p w14:paraId="166FD644" w14:textId="77777777" w:rsidR="009D6EA4" w:rsidRPr="000E1448" w:rsidRDefault="009D6EA4" w:rsidP="009D6EA4">
      <w:pPr>
        <w:tabs>
          <w:tab w:val="left" w:pos="540"/>
        </w:tabs>
        <w:autoSpaceDE w:val="0"/>
        <w:autoSpaceDN w:val="0"/>
        <w:adjustRightInd w:val="0"/>
        <w:spacing w:after="0" w:line="240" w:lineRule="auto"/>
        <w:jc w:val="both"/>
        <w:rPr>
          <w:rFonts w:cstheme="minorHAnsi"/>
          <w:b/>
          <w:color w:val="1F497D" w:themeColor="text2"/>
          <w:sz w:val="21"/>
          <w:szCs w:val="21"/>
        </w:rPr>
      </w:pPr>
    </w:p>
    <w:tbl>
      <w:tblPr>
        <w:tblStyle w:val="LightList-Accent12"/>
        <w:tblW w:w="9738" w:type="dxa"/>
        <w:tblLayout w:type="fixed"/>
        <w:tblLook w:val="00A0" w:firstRow="1" w:lastRow="0" w:firstColumn="1" w:lastColumn="0" w:noHBand="0" w:noVBand="0"/>
      </w:tblPr>
      <w:tblGrid>
        <w:gridCol w:w="9738"/>
      </w:tblGrid>
      <w:tr w:rsidR="009D6EA4" w:rsidRPr="000E1448" w14:paraId="3334576D" w14:textId="77777777" w:rsidTr="009B118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38" w:type="dxa"/>
            <w:vAlign w:val="center"/>
          </w:tcPr>
          <w:p w14:paraId="5B7BB0A4" w14:textId="77777777" w:rsidR="009D6EA4" w:rsidRPr="000E1448" w:rsidRDefault="009D6EA4" w:rsidP="009D6EA4">
            <w:pPr>
              <w:keepNext/>
              <w:rPr>
                <w:rFonts w:asciiTheme="minorHAnsi" w:hAnsiTheme="minorHAnsi" w:cstheme="minorHAnsi"/>
                <w:b w:val="0"/>
                <w:bCs w:val="0"/>
                <w:smallCaps/>
                <w:sz w:val="21"/>
                <w:szCs w:val="21"/>
                <w:lang w:val="en-US"/>
              </w:rPr>
            </w:pPr>
            <w:r w:rsidRPr="000E1448">
              <w:rPr>
                <w:rFonts w:asciiTheme="minorHAnsi" w:hAnsiTheme="minorHAnsi" w:cstheme="minorHAnsi"/>
                <w:smallCaps/>
                <w:sz w:val="21"/>
                <w:szCs w:val="21"/>
                <w:lang w:val="en-US"/>
              </w:rPr>
              <w:t>Ghana (Phase 2)</w:t>
            </w:r>
          </w:p>
        </w:tc>
      </w:tr>
    </w:tbl>
    <w:p w14:paraId="7A0AADE3" w14:textId="77777777" w:rsidR="009D6EA4" w:rsidRPr="000E1448" w:rsidRDefault="009D6EA4" w:rsidP="009D6EA4">
      <w:pPr>
        <w:keepNext/>
        <w:spacing w:after="0" w:line="240" w:lineRule="auto"/>
        <w:rPr>
          <w:rFonts w:cs="Calibri"/>
          <w:color w:val="1F497D"/>
          <w:sz w:val="21"/>
          <w:szCs w:val="21"/>
        </w:rPr>
      </w:pPr>
      <w:r w:rsidRPr="000E1448">
        <w:rPr>
          <w:rFonts w:cs="Calibri"/>
          <w:b/>
          <w:bCs/>
          <w:color w:val="1F497D"/>
          <w:sz w:val="21"/>
          <w:szCs w:val="21"/>
        </w:rPr>
        <w:t>Area</w:t>
      </w:r>
      <w:r w:rsidRPr="000E1448">
        <w:rPr>
          <w:rFonts w:cs="Calibri"/>
          <w:color w:val="1F497D"/>
          <w:sz w:val="21"/>
          <w:szCs w:val="21"/>
        </w:rPr>
        <w:t xml:space="preserve">: Public </w:t>
      </w:r>
    </w:p>
    <w:p w14:paraId="06BDCDA3" w14:textId="77777777" w:rsidR="009D6EA4" w:rsidRPr="000E1448" w:rsidRDefault="009D6EA4" w:rsidP="009D6EA4">
      <w:pPr>
        <w:keepNext/>
        <w:spacing w:after="0" w:line="240" w:lineRule="auto"/>
        <w:rPr>
          <w:rFonts w:cs="Calibri"/>
          <w:color w:val="1F497D"/>
          <w:sz w:val="21"/>
          <w:szCs w:val="21"/>
        </w:rPr>
      </w:pPr>
      <w:r w:rsidRPr="000E1448">
        <w:rPr>
          <w:rFonts w:cs="Calibri"/>
          <w:b/>
          <w:bCs/>
          <w:color w:val="1F497D"/>
          <w:sz w:val="21"/>
          <w:szCs w:val="21"/>
        </w:rPr>
        <w:t>Scope</w:t>
      </w:r>
      <w:r w:rsidRPr="000E1448">
        <w:rPr>
          <w:rFonts w:cs="Calibri"/>
          <w:color w:val="1F497D"/>
          <w:sz w:val="21"/>
          <w:szCs w:val="21"/>
        </w:rPr>
        <w:t>: GHG NIS, NAMAs, LEDS, MRV</w:t>
      </w:r>
    </w:p>
    <w:p w14:paraId="3A86968B" w14:textId="77777777" w:rsidR="009D6EA4" w:rsidRPr="000E1448" w:rsidRDefault="009D6EA4" w:rsidP="009D6EA4">
      <w:pPr>
        <w:keepNext/>
        <w:spacing w:after="0" w:line="240" w:lineRule="auto"/>
        <w:rPr>
          <w:rFonts w:cs="Calibri"/>
          <w:color w:val="1F497D"/>
          <w:sz w:val="21"/>
          <w:szCs w:val="21"/>
        </w:rPr>
      </w:pPr>
      <w:r w:rsidRPr="000E1448">
        <w:rPr>
          <w:rFonts w:cs="Calibri"/>
          <w:b/>
          <w:bCs/>
          <w:color w:val="1F497D"/>
          <w:sz w:val="21"/>
          <w:szCs w:val="21"/>
        </w:rPr>
        <w:t>Sectors</w:t>
      </w:r>
      <w:r w:rsidRPr="000E1448">
        <w:rPr>
          <w:rFonts w:cs="Calibri"/>
          <w:color w:val="1F497D"/>
          <w:sz w:val="21"/>
          <w:szCs w:val="21"/>
        </w:rPr>
        <w:t>: Energy</w:t>
      </w:r>
    </w:p>
    <w:p w14:paraId="584A3267" w14:textId="77777777" w:rsidR="009D6EA4" w:rsidRPr="000E1448" w:rsidRDefault="009D6EA4" w:rsidP="009D6EA4">
      <w:pPr>
        <w:keepNext/>
        <w:spacing w:after="0" w:line="240" w:lineRule="auto"/>
        <w:rPr>
          <w:rFonts w:cs="Calibri"/>
          <w:color w:val="1F497D"/>
          <w:sz w:val="21"/>
          <w:szCs w:val="21"/>
        </w:rPr>
      </w:pPr>
      <w:r w:rsidRPr="000E1448">
        <w:rPr>
          <w:rFonts w:cs="Calibri"/>
          <w:b/>
          <w:bCs/>
          <w:color w:val="1F497D"/>
          <w:sz w:val="21"/>
          <w:szCs w:val="21"/>
        </w:rPr>
        <w:t>National Implementing Agency</w:t>
      </w:r>
      <w:r w:rsidRPr="000E1448">
        <w:rPr>
          <w:rFonts w:cs="Calibri"/>
          <w:color w:val="1F497D"/>
          <w:sz w:val="21"/>
          <w:szCs w:val="21"/>
        </w:rPr>
        <w:t>: Directorate for Environment, Ministry of Environment, Science and Technology and Innovation (MESTI)</w:t>
      </w:r>
    </w:p>
    <w:p w14:paraId="317C8671" w14:textId="77777777" w:rsidR="009D6EA4" w:rsidRPr="000E1448" w:rsidRDefault="009D6EA4" w:rsidP="009D6EA4">
      <w:pPr>
        <w:keepNext/>
        <w:spacing w:after="0" w:line="240" w:lineRule="auto"/>
        <w:rPr>
          <w:rFonts w:cs="Calibri"/>
          <w:color w:val="1F497D"/>
          <w:sz w:val="21"/>
          <w:szCs w:val="21"/>
        </w:rPr>
      </w:pPr>
    </w:p>
    <w:p w14:paraId="008E01F8" w14:textId="3E402620" w:rsidR="003018AD" w:rsidRPr="00402FFA" w:rsidRDefault="009D6EA4" w:rsidP="009D6EA4">
      <w:pPr>
        <w:spacing w:after="0" w:line="240" w:lineRule="auto"/>
        <w:jc w:val="both"/>
        <w:rPr>
          <w:rFonts w:cs="Calibri"/>
          <w:bCs/>
          <w:color w:val="1F497D"/>
          <w:sz w:val="21"/>
          <w:szCs w:val="21"/>
        </w:rPr>
      </w:pPr>
      <w:r w:rsidRPr="00402FFA">
        <w:rPr>
          <w:rFonts w:cs="Calibri"/>
          <w:bCs/>
          <w:color w:val="1F497D"/>
          <w:sz w:val="21"/>
          <w:szCs w:val="21"/>
        </w:rPr>
        <w:t xml:space="preserve">During this quarter, </w:t>
      </w:r>
      <w:r w:rsidR="00C53FAE" w:rsidRPr="00402FFA">
        <w:rPr>
          <w:rFonts w:cs="Calibri"/>
          <w:bCs/>
          <w:color w:val="1F497D"/>
          <w:sz w:val="21"/>
          <w:szCs w:val="21"/>
        </w:rPr>
        <w:t>the implementation of the</w:t>
      </w:r>
      <w:r w:rsidR="003F059C" w:rsidRPr="00402FFA">
        <w:rPr>
          <w:rFonts w:cs="Calibri"/>
          <w:bCs/>
          <w:color w:val="1F497D"/>
          <w:sz w:val="21"/>
          <w:szCs w:val="21"/>
        </w:rPr>
        <w:t xml:space="preserve"> LECBP</w:t>
      </w:r>
      <w:r w:rsidR="00C53FAE" w:rsidRPr="00402FFA">
        <w:rPr>
          <w:rFonts w:cs="Calibri"/>
          <w:bCs/>
          <w:color w:val="1F497D"/>
          <w:sz w:val="21"/>
          <w:szCs w:val="21"/>
        </w:rPr>
        <w:t xml:space="preserve"> project focused on completing NAMA investor guide</w:t>
      </w:r>
      <w:r w:rsidR="003018AD" w:rsidRPr="00402FFA">
        <w:rPr>
          <w:rFonts w:cs="Calibri"/>
          <w:bCs/>
          <w:color w:val="1F497D"/>
          <w:sz w:val="21"/>
          <w:szCs w:val="21"/>
        </w:rPr>
        <w:t xml:space="preserve">, completing the selection of the two energy NAMAs in order to facilitate the development of the two NAMAs. </w:t>
      </w:r>
    </w:p>
    <w:p w14:paraId="51B36BA7" w14:textId="4686C97F" w:rsidR="003018AD" w:rsidRPr="00402FFA" w:rsidRDefault="003018AD" w:rsidP="009D6EA4">
      <w:pPr>
        <w:spacing w:after="0" w:line="240" w:lineRule="auto"/>
        <w:jc w:val="both"/>
        <w:rPr>
          <w:rFonts w:cs="Calibri"/>
          <w:bCs/>
          <w:color w:val="1F497D"/>
          <w:sz w:val="21"/>
          <w:szCs w:val="21"/>
        </w:rPr>
      </w:pPr>
      <w:r w:rsidRPr="00402FFA">
        <w:rPr>
          <w:rFonts w:cs="Calibri"/>
          <w:bCs/>
          <w:color w:val="1F497D"/>
          <w:sz w:val="21"/>
          <w:szCs w:val="21"/>
        </w:rPr>
        <w:t>U</w:t>
      </w:r>
      <w:r w:rsidR="00C53FAE" w:rsidRPr="00402FFA">
        <w:rPr>
          <w:rFonts w:cs="Calibri"/>
          <w:bCs/>
          <w:color w:val="1F497D"/>
          <w:sz w:val="21"/>
          <w:szCs w:val="21"/>
        </w:rPr>
        <w:t xml:space="preserve">nder output 1, </w:t>
      </w:r>
      <w:r w:rsidRPr="00402FFA">
        <w:rPr>
          <w:rFonts w:cs="Calibri"/>
          <w:bCs/>
          <w:color w:val="1F497D"/>
          <w:sz w:val="21"/>
          <w:szCs w:val="21"/>
        </w:rPr>
        <w:t>consultant working on the selection and consultation of the two NAMAs completed the 5 draft background papers</w:t>
      </w:r>
      <w:r w:rsidR="00C53FAE" w:rsidRPr="00402FFA">
        <w:rPr>
          <w:rFonts w:cs="Calibri"/>
          <w:bCs/>
          <w:color w:val="1F497D"/>
          <w:sz w:val="21"/>
          <w:szCs w:val="21"/>
        </w:rPr>
        <w:t xml:space="preserve">. </w:t>
      </w:r>
      <w:r w:rsidRPr="00402FFA">
        <w:rPr>
          <w:rFonts w:cs="Calibri"/>
          <w:bCs/>
          <w:color w:val="1F497D"/>
          <w:sz w:val="21"/>
          <w:szCs w:val="21"/>
        </w:rPr>
        <w:t xml:space="preserve">The background papers will be used for the consultation. Procurement for consultants to work on the development of the two NAMAs started. </w:t>
      </w:r>
      <w:r w:rsidR="00AD005A">
        <w:rPr>
          <w:rFonts w:cs="Calibri"/>
          <w:bCs/>
          <w:color w:val="1F497D"/>
          <w:sz w:val="21"/>
          <w:szCs w:val="21"/>
        </w:rPr>
        <w:t>Under output 2, the</w:t>
      </w:r>
      <w:r w:rsidRPr="00402FFA">
        <w:rPr>
          <w:rFonts w:cs="Calibri"/>
          <w:bCs/>
          <w:color w:val="1F497D"/>
          <w:sz w:val="21"/>
          <w:szCs w:val="21"/>
        </w:rPr>
        <w:t xml:space="preserve"> review of the NAMAs investor guide </w:t>
      </w:r>
      <w:r w:rsidR="005A5A04" w:rsidRPr="00402FFA">
        <w:rPr>
          <w:rFonts w:cs="Calibri"/>
          <w:bCs/>
          <w:color w:val="1F497D"/>
          <w:sz w:val="21"/>
          <w:szCs w:val="21"/>
        </w:rPr>
        <w:t>was completed. The typesetting</w:t>
      </w:r>
      <w:r w:rsidR="00D97E9E">
        <w:rPr>
          <w:rFonts w:cs="Calibri"/>
          <w:bCs/>
          <w:color w:val="1F497D"/>
          <w:sz w:val="21"/>
          <w:szCs w:val="21"/>
        </w:rPr>
        <w:t xml:space="preserve"> and publication</w:t>
      </w:r>
      <w:r w:rsidR="00CB3860" w:rsidRPr="00402FFA">
        <w:rPr>
          <w:rFonts w:cs="Calibri"/>
          <w:bCs/>
          <w:color w:val="1F497D"/>
          <w:sz w:val="21"/>
          <w:szCs w:val="21"/>
        </w:rPr>
        <w:t xml:space="preserve"> </w:t>
      </w:r>
      <w:r w:rsidR="00D97E9E">
        <w:rPr>
          <w:rFonts w:cs="Calibri"/>
          <w:bCs/>
          <w:color w:val="1F497D"/>
          <w:sz w:val="21"/>
          <w:szCs w:val="21"/>
        </w:rPr>
        <w:t xml:space="preserve">of the guide is </w:t>
      </w:r>
      <w:r w:rsidR="00AD005A">
        <w:rPr>
          <w:rFonts w:cs="Calibri"/>
          <w:bCs/>
          <w:color w:val="1F497D"/>
          <w:sz w:val="21"/>
          <w:szCs w:val="21"/>
        </w:rPr>
        <w:t>on going</w:t>
      </w:r>
      <w:r w:rsidR="005A5A04" w:rsidRPr="00402FFA">
        <w:rPr>
          <w:rFonts w:cs="Calibri"/>
          <w:bCs/>
          <w:color w:val="1F497D"/>
          <w:sz w:val="21"/>
          <w:szCs w:val="21"/>
        </w:rPr>
        <w:t>.</w:t>
      </w:r>
      <w:r w:rsidR="00AD005A">
        <w:rPr>
          <w:rFonts w:cs="Calibri"/>
          <w:bCs/>
          <w:color w:val="1F497D"/>
          <w:sz w:val="21"/>
          <w:szCs w:val="21"/>
        </w:rPr>
        <w:t xml:space="preserve"> Under output 3, the GHG database went live online. TORs for the preparation of GHG manual and the development of QA/QC and uncertainly assessment tool was developed. The TORs are under review at MESTI for procurement clearance.    </w:t>
      </w:r>
      <w:r w:rsidR="00D97E9E">
        <w:rPr>
          <w:rFonts w:cs="Calibri"/>
          <w:bCs/>
          <w:color w:val="1F497D"/>
          <w:sz w:val="21"/>
          <w:szCs w:val="21"/>
        </w:rPr>
        <w:t xml:space="preserve"> </w:t>
      </w:r>
      <w:r w:rsidR="00CB3860" w:rsidRPr="00402FFA">
        <w:rPr>
          <w:rFonts w:cs="Calibri"/>
          <w:bCs/>
          <w:color w:val="1F497D"/>
          <w:sz w:val="21"/>
          <w:szCs w:val="21"/>
        </w:rPr>
        <w:t xml:space="preserve"> </w:t>
      </w:r>
      <w:r w:rsidR="005A5A04" w:rsidRPr="00402FFA">
        <w:rPr>
          <w:rFonts w:cs="Calibri"/>
          <w:bCs/>
          <w:color w:val="1F497D"/>
          <w:sz w:val="21"/>
          <w:szCs w:val="21"/>
        </w:rPr>
        <w:t xml:space="preserve"> </w:t>
      </w:r>
      <w:r w:rsidRPr="00402FFA">
        <w:rPr>
          <w:rFonts w:cs="Calibri"/>
          <w:bCs/>
          <w:color w:val="1F497D"/>
          <w:sz w:val="21"/>
          <w:szCs w:val="21"/>
        </w:rPr>
        <w:t xml:space="preserve"> </w:t>
      </w:r>
    </w:p>
    <w:p w14:paraId="204AA9B5" w14:textId="77777777" w:rsidR="009D6EA4" w:rsidRPr="000E1448" w:rsidRDefault="009D6EA4" w:rsidP="009D6EA4">
      <w:pPr>
        <w:spacing w:after="0" w:line="240" w:lineRule="auto"/>
        <w:jc w:val="both"/>
        <w:rPr>
          <w:rFonts w:cs="Calibri"/>
          <w:bCs/>
          <w:color w:val="1F497D"/>
          <w:sz w:val="21"/>
          <w:szCs w:val="21"/>
        </w:rPr>
      </w:pPr>
    </w:p>
    <w:p w14:paraId="6B5D3FCC" w14:textId="77777777" w:rsidR="009D6EA4" w:rsidRPr="000E1448" w:rsidRDefault="009D6EA4" w:rsidP="00FC52F7">
      <w:pPr>
        <w:keepNext/>
        <w:spacing w:after="0" w:line="240" w:lineRule="auto"/>
        <w:jc w:val="both"/>
        <w:rPr>
          <w:rFonts w:cs="Calibri"/>
          <w:bCs/>
          <w:color w:val="1F497D"/>
          <w:sz w:val="21"/>
          <w:szCs w:val="21"/>
        </w:rPr>
      </w:pPr>
      <w:r w:rsidRPr="000E1448">
        <w:rPr>
          <w:rFonts w:cs="Calibri"/>
          <w:bCs/>
          <w:i/>
          <w:color w:val="1F497D"/>
          <w:sz w:val="21"/>
          <w:szCs w:val="21"/>
          <w:u w:val="single"/>
        </w:rPr>
        <w:t xml:space="preserve">Outcome1: Up to 2 financeable energy-related NAMAs formulated in the context of national development priorities, including the associated MRV </w:t>
      </w:r>
      <w:r w:rsidRPr="000E1448">
        <w:rPr>
          <w:rFonts w:cs="Calibri"/>
          <w:i/>
          <w:color w:val="1F497D"/>
          <w:sz w:val="21"/>
          <w:szCs w:val="21"/>
          <w:u w:val="single"/>
        </w:rPr>
        <w:t>system</w:t>
      </w:r>
      <w:r w:rsidRPr="000E1448">
        <w:rPr>
          <w:rFonts w:cs="Calibri"/>
          <w:bCs/>
          <w:color w:val="1F497D"/>
          <w:sz w:val="21"/>
          <w:szCs w:val="21"/>
        </w:rPr>
        <w:t xml:space="preserve"> </w:t>
      </w:r>
    </w:p>
    <w:p w14:paraId="7365540A" w14:textId="77777777" w:rsidR="009D6EA4" w:rsidRPr="000E1448" w:rsidRDefault="009B1186" w:rsidP="000E1448">
      <w:pPr>
        <w:pStyle w:val="NoSpacing"/>
        <w:spacing w:line="216" w:lineRule="auto"/>
        <w:jc w:val="both"/>
        <w:rPr>
          <w:rFonts w:cs="Calibri"/>
          <w:bCs/>
          <w:color w:val="1F497D"/>
          <w:sz w:val="21"/>
          <w:szCs w:val="21"/>
        </w:rPr>
      </w:pPr>
      <w:r>
        <w:rPr>
          <w:rFonts w:cs="Calibri"/>
          <w:bCs/>
          <w:color w:val="1F497D"/>
          <w:sz w:val="21"/>
          <w:szCs w:val="21"/>
        </w:rPr>
        <w:t>Selection of national consultant to facilitate the selection and consultation of 2 financeable energy-related NAMAs was completed</w:t>
      </w:r>
      <w:r w:rsidR="00674A23">
        <w:rPr>
          <w:rFonts w:cs="Calibri"/>
          <w:bCs/>
          <w:color w:val="1F497D"/>
          <w:sz w:val="21"/>
          <w:szCs w:val="21"/>
        </w:rPr>
        <w:t xml:space="preserve">. </w:t>
      </w:r>
      <w:r>
        <w:rPr>
          <w:rFonts w:cs="Calibri"/>
          <w:bCs/>
          <w:color w:val="1F497D"/>
          <w:sz w:val="21"/>
          <w:szCs w:val="21"/>
        </w:rPr>
        <w:t xml:space="preserve">The consultant started work and </w:t>
      </w:r>
      <w:r w:rsidR="00594051">
        <w:rPr>
          <w:rFonts w:cs="Calibri"/>
          <w:bCs/>
          <w:color w:val="1F497D"/>
          <w:sz w:val="21"/>
          <w:szCs w:val="21"/>
        </w:rPr>
        <w:t xml:space="preserve">produced five draft background papers as input into consultation and selection process. In addition, the procurement </w:t>
      </w:r>
      <w:r w:rsidR="00253F9B">
        <w:rPr>
          <w:rFonts w:cs="Calibri"/>
          <w:bCs/>
          <w:color w:val="1F497D"/>
          <w:sz w:val="21"/>
          <w:szCs w:val="21"/>
        </w:rPr>
        <w:t xml:space="preserve">of national and international consultants to develop the two NAMAs started. TOR was developed and used for the international advertisement. The procurement progress was led by the UNDP. In the next quarter, the selection and consultation process will be completed in order to allow for the development of the two NAMAs.   </w:t>
      </w:r>
    </w:p>
    <w:p w14:paraId="1156093C" w14:textId="77777777" w:rsidR="009D6EA4" w:rsidRPr="000E1448" w:rsidRDefault="009D6EA4" w:rsidP="009D6EA4">
      <w:pPr>
        <w:spacing w:after="0" w:line="240" w:lineRule="auto"/>
        <w:jc w:val="both"/>
        <w:rPr>
          <w:rFonts w:cs="Calibri"/>
          <w:bCs/>
          <w:color w:val="1F497D"/>
          <w:sz w:val="21"/>
          <w:szCs w:val="21"/>
        </w:rPr>
      </w:pPr>
    </w:p>
    <w:p w14:paraId="2CACF12E" w14:textId="77777777" w:rsidR="009D6EA4" w:rsidRPr="000E1448" w:rsidRDefault="009D6EA4" w:rsidP="00FC52F7">
      <w:pPr>
        <w:keepNext/>
        <w:spacing w:after="0" w:line="240" w:lineRule="auto"/>
        <w:jc w:val="both"/>
        <w:rPr>
          <w:rFonts w:cs="Calibri"/>
          <w:bCs/>
          <w:i/>
          <w:color w:val="1F497D"/>
          <w:sz w:val="21"/>
          <w:szCs w:val="21"/>
          <w:u w:val="single"/>
        </w:rPr>
      </w:pPr>
      <w:r w:rsidRPr="000E1448">
        <w:rPr>
          <w:rFonts w:cs="Calibri"/>
          <w:bCs/>
          <w:i/>
          <w:color w:val="1F497D"/>
          <w:sz w:val="21"/>
          <w:szCs w:val="21"/>
          <w:u w:val="single"/>
        </w:rPr>
        <w:t>Outcome2: Ghana NAMAs Investor Guide reviewed and promoted among the business community</w:t>
      </w:r>
    </w:p>
    <w:p w14:paraId="01AD35E6" w14:textId="478A6539" w:rsidR="00674A23" w:rsidRPr="000E1448" w:rsidRDefault="00540D0C" w:rsidP="00174789">
      <w:pPr>
        <w:pStyle w:val="NoSpacing"/>
        <w:spacing w:line="216" w:lineRule="auto"/>
        <w:jc w:val="both"/>
        <w:rPr>
          <w:rFonts w:cs="Calibri"/>
          <w:bCs/>
          <w:color w:val="1F497D"/>
          <w:sz w:val="21"/>
          <w:szCs w:val="21"/>
        </w:rPr>
      </w:pPr>
      <w:r>
        <w:rPr>
          <w:rFonts w:cs="Calibri"/>
          <w:bCs/>
          <w:color w:val="1F497D"/>
          <w:sz w:val="21"/>
          <w:szCs w:val="21"/>
        </w:rPr>
        <w:t xml:space="preserve">The third party review by UNDP New York, of the NAMA investor guide was completed. Comments from the review were incorporate into draft version of the document. At this stage, the investor guide document has been submitted back to UNDP New York for final typesetting and publication. </w:t>
      </w:r>
      <w:r w:rsidR="00674A23">
        <w:rPr>
          <w:rFonts w:cs="Calibri"/>
          <w:bCs/>
          <w:color w:val="1F497D"/>
          <w:sz w:val="21"/>
          <w:szCs w:val="21"/>
        </w:rPr>
        <w:t>In the next quarter, printing will be done after which dissemination starts.</w:t>
      </w:r>
      <w:r>
        <w:rPr>
          <w:rFonts w:cs="Calibri"/>
          <w:bCs/>
          <w:color w:val="1F497D"/>
          <w:sz w:val="21"/>
          <w:szCs w:val="21"/>
        </w:rPr>
        <w:t xml:space="preserve"> This will pave way for the dissemination activities to start. </w:t>
      </w:r>
      <w:r w:rsidR="00674A23" w:rsidRPr="00674A23">
        <w:rPr>
          <w:rFonts w:cs="Calibri"/>
          <w:bCs/>
          <w:color w:val="1F497D"/>
          <w:sz w:val="21"/>
          <w:szCs w:val="21"/>
        </w:rPr>
        <w:tab/>
      </w:r>
    </w:p>
    <w:p w14:paraId="6CF97744" w14:textId="77777777" w:rsidR="00174789" w:rsidRPr="000E1448" w:rsidRDefault="00174789" w:rsidP="009D6EA4">
      <w:pPr>
        <w:spacing w:after="0" w:line="240" w:lineRule="auto"/>
        <w:jc w:val="both"/>
        <w:rPr>
          <w:rFonts w:cs="Calibri"/>
          <w:bCs/>
          <w:color w:val="1F497D"/>
          <w:sz w:val="21"/>
          <w:szCs w:val="21"/>
        </w:rPr>
      </w:pPr>
      <w:r w:rsidRPr="000E1448">
        <w:rPr>
          <w:rFonts w:cs="Calibri"/>
          <w:bCs/>
          <w:color w:val="1F497D"/>
          <w:sz w:val="21"/>
          <w:szCs w:val="21"/>
        </w:rPr>
        <w:t xml:space="preserve"> </w:t>
      </w:r>
    </w:p>
    <w:p w14:paraId="39616D2F" w14:textId="77777777" w:rsidR="009D6EA4" w:rsidRPr="000E1448" w:rsidRDefault="009D6EA4" w:rsidP="00FC52F7">
      <w:pPr>
        <w:keepNext/>
        <w:spacing w:after="0" w:line="240" w:lineRule="auto"/>
        <w:jc w:val="both"/>
        <w:rPr>
          <w:rFonts w:cs="Calibri"/>
          <w:bCs/>
          <w:color w:val="1F497D"/>
          <w:sz w:val="21"/>
          <w:szCs w:val="21"/>
        </w:rPr>
      </w:pPr>
      <w:r w:rsidRPr="000E1448">
        <w:rPr>
          <w:rFonts w:cs="Calibri"/>
          <w:bCs/>
          <w:i/>
          <w:color w:val="1F497D"/>
          <w:sz w:val="21"/>
          <w:szCs w:val="21"/>
          <w:u w:val="single"/>
        </w:rPr>
        <w:t xml:space="preserve">Outcome3: National system for preparation of GHG inventories </w:t>
      </w:r>
      <w:r w:rsidRPr="000E1448">
        <w:rPr>
          <w:rFonts w:cs="Calibri"/>
          <w:i/>
          <w:color w:val="1F497D"/>
          <w:sz w:val="21"/>
          <w:szCs w:val="21"/>
          <w:u w:val="single"/>
        </w:rPr>
        <w:t>strengthened</w:t>
      </w:r>
      <w:r w:rsidRPr="000E1448">
        <w:rPr>
          <w:rFonts w:cs="Calibri"/>
          <w:bCs/>
          <w:color w:val="1F497D"/>
          <w:sz w:val="21"/>
          <w:szCs w:val="21"/>
        </w:rPr>
        <w:t xml:space="preserve"> </w:t>
      </w:r>
    </w:p>
    <w:p w14:paraId="69A669D5" w14:textId="1A53D5EC" w:rsidR="00674A23" w:rsidRPr="000E1448" w:rsidRDefault="00010775" w:rsidP="00FC52F7">
      <w:pPr>
        <w:spacing w:after="0" w:line="240" w:lineRule="auto"/>
        <w:jc w:val="both"/>
        <w:rPr>
          <w:rFonts w:cs="Calibri"/>
          <w:bCs/>
          <w:color w:val="1F497D"/>
          <w:sz w:val="21"/>
          <w:szCs w:val="21"/>
        </w:rPr>
      </w:pPr>
      <w:r>
        <w:rPr>
          <w:rFonts w:cs="Calibri"/>
          <w:bCs/>
          <w:color w:val="1F497D"/>
          <w:sz w:val="21"/>
          <w:szCs w:val="21"/>
        </w:rPr>
        <w:t xml:space="preserve">The </w:t>
      </w:r>
      <w:r w:rsidR="00E20A1B">
        <w:rPr>
          <w:rFonts w:cs="Calibri"/>
          <w:bCs/>
          <w:color w:val="1F497D"/>
          <w:sz w:val="21"/>
          <w:szCs w:val="21"/>
        </w:rPr>
        <w:t xml:space="preserve">GHG database </w:t>
      </w:r>
      <w:r>
        <w:rPr>
          <w:rFonts w:cs="Calibri"/>
          <w:bCs/>
          <w:color w:val="1F497D"/>
          <w:sz w:val="21"/>
          <w:szCs w:val="21"/>
        </w:rPr>
        <w:t xml:space="preserve">went </w:t>
      </w:r>
      <w:r>
        <w:rPr>
          <w:rFonts w:cs="Calibri"/>
          <w:bCs/>
          <w:color w:val="1F497D"/>
          <w:sz w:val="21"/>
          <w:szCs w:val="21"/>
        </w:rPr>
        <w:t>live</w:t>
      </w:r>
      <w:r>
        <w:rPr>
          <w:rFonts w:cs="Calibri"/>
          <w:bCs/>
          <w:color w:val="1F497D"/>
          <w:sz w:val="21"/>
          <w:szCs w:val="21"/>
        </w:rPr>
        <w:t xml:space="preserve"> online</w:t>
      </w:r>
      <w:r w:rsidR="00E20A1B">
        <w:rPr>
          <w:rFonts w:cs="Calibri"/>
          <w:bCs/>
          <w:color w:val="1F497D"/>
          <w:sz w:val="21"/>
          <w:szCs w:val="21"/>
        </w:rPr>
        <w:t xml:space="preserve">. TORs for the (a) preparation of GHG manual and </w:t>
      </w:r>
      <w:r w:rsidR="00763321">
        <w:rPr>
          <w:rFonts w:cs="Calibri"/>
          <w:bCs/>
          <w:color w:val="1F497D"/>
          <w:sz w:val="21"/>
          <w:szCs w:val="21"/>
        </w:rPr>
        <w:t>(b) QA/QC plan and Uncertainty Assessment to</w:t>
      </w:r>
      <w:bookmarkStart w:id="0" w:name="_GoBack"/>
      <w:bookmarkEnd w:id="0"/>
      <w:r w:rsidR="00763321">
        <w:rPr>
          <w:rFonts w:cs="Calibri"/>
          <w:bCs/>
          <w:color w:val="1F497D"/>
          <w:sz w:val="21"/>
          <w:szCs w:val="21"/>
        </w:rPr>
        <w:t xml:space="preserve">ol has been prepared. The TORs are currently at MESTI undergoing review by the procurement office. In the next quarter, national consultant will be hired to develop the GHG manual and the QA/QC plan.   </w:t>
      </w:r>
    </w:p>
    <w:p w14:paraId="3036EE57" w14:textId="77777777" w:rsidR="009D6EA4" w:rsidRPr="000E1448" w:rsidRDefault="009D6EA4" w:rsidP="009D6EA4">
      <w:pPr>
        <w:spacing w:after="0" w:line="240" w:lineRule="auto"/>
        <w:jc w:val="both"/>
        <w:rPr>
          <w:rFonts w:cs="Calibri"/>
          <w:bCs/>
          <w:color w:val="1F497D"/>
          <w:sz w:val="21"/>
          <w:szCs w:val="21"/>
        </w:rPr>
      </w:pPr>
    </w:p>
    <w:p w14:paraId="466250E7" w14:textId="77777777" w:rsidR="009D6EA4" w:rsidRPr="000E1448" w:rsidRDefault="009D6EA4" w:rsidP="009D6EA4">
      <w:pPr>
        <w:keepNext/>
        <w:spacing w:after="0" w:line="240" w:lineRule="auto"/>
        <w:jc w:val="both"/>
        <w:rPr>
          <w:rFonts w:cs="Calibri"/>
          <w:b/>
          <w:color w:val="1F497D"/>
          <w:sz w:val="21"/>
          <w:szCs w:val="21"/>
          <w:lang w:val="en-GB"/>
        </w:rPr>
      </w:pPr>
      <w:r w:rsidRPr="000E1448">
        <w:rPr>
          <w:rFonts w:cstheme="minorHAnsi"/>
          <w:b/>
          <w:color w:val="1F497D" w:themeColor="text2"/>
          <w:sz w:val="21"/>
          <w:szCs w:val="21"/>
        </w:rPr>
        <w:t>Additional</w:t>
      </w:r>
      <w:r w:rsidRPr="000E1448">
        <w:rPr>
          <w:rFonts w:cs="Calibri"/>
          <w:b/>
          <w:color w:val="1F497D"/>
          <w:sz w:val="21"/>
          <w:szCs w:val="21"/>
          <w:lang w:val="en-GB"/>
        </w:rPr>
        <w:t xml:space="preserve"> notes:</w:t>
      </w:r>
    </w:p>
    <w:p w14:paraId="44C68AD4" w14:textId="28803031" w:rsidR="003F059C" w:rsidRPr="003F059C" w:rsidRDefault="00763321" w:rsidP="003F059C">
      <w:pPr>
        <w:pStyle w:val="ListParagraph"/>
        <w:numPr>
          <w:ilvl w:val="0"/>
          <w:numId w:val="4"/>
        </w:numPr>
        <w:jc w:val="both"/>
        <w:rPr>
          <w:rFonts w:asciiTheme="minorHAnsi" w:hAnsiTheme="minorHAnsi"/>
          <w:color w:val="1F497D"/>
          <w:sz w:val="21"/>
          <w:szCs w:val="21"/>
        </w:rPr>
      </w:pPr>
      <w:r>
        <w:rPr>
          <w:rFonts w:asciiTheme="minorHAnsi" w:hAnsiTheme="minorHAnsi"/>
          <w:color w:val="1F497D"/>
          <w:sz w:val="21"/>
          <w:szCs w:val="21"/>
          <w:lang w:val="en-GB"/>
        </w:rPr>
        <w:t>Ghana participated in the Global annual meeting held in Belgium</w:t>
      </w:r>
      <w:r w:rsidR="003F059C">
        <w:rPr>
          <w:rFonts w:asciiTheme="minorHAnsi" w:hAnsiTheme="minorHAnsi"/>
          <w:color w:val="1F497D"/>
          <w:sz w:val="21"/>
          <w:szCs w:val="21"/>
          <w:lang w:val="en-GB"/>
        </w:rPr>
        <w:t>.</w:t>
      </w:r>
      <w:r>
        <w:rPr>
          <w:rFonts w:asciiTheme="minorHAnsi" w:hAnsiTheme="minorHAnsi"/>
          <w:color w:val="1F497D"/>
          <w:sz w:val="21"/>
          <w:szCs w:val="21"/>
          <w:lang w:val="en-GB"/>
        </w:rPr>
        <w:t xml:space="preserve"> Ghana made presentation on the online GHG database as part of the domestic MRV system. </w:t>
      </w:r>
      <w:r w:rsidR="003F059C">
        <w:rPr>
          <w:rFonts w:asciiTheme="minorHAnsi" w:hAnsiTheme="minorHAnsi"/>
          <w:color w:val="1F497D"/>
          <w:sz w:val="21"/>
          <w:szCs w:val="21"/>
          <w:lang w:val="en-GB"/>
        </w:rPr>
        <w:t xml:space="preserve"> </w:t>
      </w:r>
    </w:p>
    <w:p w14:paraId="0FC8C9D9" w14:textId="77777777" w:rsidR="009D6EA4" w:rsidRPr="000E1448" w:rsidRDefault="00EB430D" w:rsidP="009D6EA4">
      <w:pPr>
        <w:spacing w:after="0" w:line="240" w:lineRule="auto"/>
        <w:jc w:val="both"/>
        <w:rPr>
          <w:rFonts w:cs="Calibri"/>
          <w:color w:val="1F497D"/>
          <w:sz w:val="21"/>
          <w:szCs w:val="21"/>
          <w:lang w:val="en-GB"/>
        </w:rPr>
      </w:pPr>
      <w:r w:rsidRPr="000E1448">
        <w:rPr>
          <w:noProof/>
          <w:sz w:val="21"/>
          <w:szCs w:val="21"/>
        </w:rPr>
        <w:drawing>
          <wp:inline distT="0" distB="0" distL="0" distR="0" wp14:anchorId="3AA0E051" wp14:editId="48CA62E2">
            <wp:extent cx="819303" cy="2923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828309" cy="295527"/>
                    </a:xfrm>
                    <a:prstGeom prst="rect">
                      <a:avLst/>
                    </a:prstGeom>
                    <a:noFill/>
                    <a:ln>
                      <a:noFill/>
                    </a:ln>
                  </pic:spPr>
                </pic:pic>
              </a:graphicData>
            </a:graphic>
          </wp:inline>
        </w:drawing>
      </w:r>
      <w:r>
        <w:rPr>
          <w:rFonts w:cs="Calibri"/>
          <w:color w:val="1F497D"/>
          <w:sz w:val="21"/>
          <w:szCs w:val="21"/>
          <w:lang w:val="en-GB"/>
        </w:rPr>
        <w:t xml:space="preserve">                                                       </w:t>
      </w:r>
      <w:r w:rsidRPr="000E1448">
        <w:rPr>
          <w:noProof/>
          <w:sz w:val="21"/>
          <w:szCs w:val="21"/>
        </w:rPr>
        <w:drawing>
          <wp:inline distT="0" distB="0" distL="0" distR="0" wp14:anchorId="174061AE" wp14:editId="1BF00111">
            <wp:extent cx="584784" cy="415008"/>
            <wp:effectExtent l="0" t="0" r="6350" b="4445"/>
            <wp:docPr id="3" name="Picture 3" descr="Afficher l'image en taille ré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fficher l'image en taille rée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228" cy="428807"/>
                    </a:xfrm>
                    <a:prstGeom prst="rect">
                      <a:avLst/>
                    </a:prstGeom>
                    <a:noFill/>
                    <a:ln>
                      <a:noFill/>
                    </a:ln>
                  </pic:spPr>
                </pic:pic>
              </a:graphicData>
            </a:graphic>
          </wp:inline>
        </w:drawing>
      </w:r>
      <w:r>
        <w:rPr>
          <w:rFonts w:cs="Calibri"/>
          <w:color w:val="1F497D"/>
          <w:sz w:val="21"/>
          <w:szCs w:val="21"/>
          <w:lang w:val="en-GB"/>
        </w:rPr>
        <w:t xml:space="preserve">                                       </w:t>
      </w:r>
      <w:r w:rsidRPr="000E1448">
        <w:rPr>
          <w:noProof/>
          <w:sz w:val="21"/>
          <w:szCs w:val="21"/>
        </w:rPr>
        <w:drawing>
          <wp:inline distT="0" distB="0" distL="0" distR="0" wp14:anchorId="6165AD22" wp14:editId="14AFE7E4">
            <wp:extent cx="1053389" cy="34095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4431" cy="350999"/>
                    </a:xfrm>
                    <a:prstGeom prst="rect">
                      <a:avLst/>
                    </a:prstGeom>
                    <a:noFill/>
                    <a:ln>
                      <a:noFill/>
                    </a:ln>
                  </pic:spPr>
                </pic:pic>
              </a:graphicData>
            </a:graphic>
          </wp:inline>
        </w:drawing>
      </w:r>
      <w:r>
        <w:rPr>
          <w:rFonts w:cs="Calibri"/>
          <w:color w:val="1F497D"/>
          <w:sz w:val="21"/>
          <w:szCs w:val="21"/>
          <w:lang w:val="en-GB"/>
        </w:rPr>
        <w:t xml:space="preserve">                    </w:t>
      </w:r>
    </w:p>
    <w:tbl>
      <w:tblPr>
        <w:tblW w:w="0" w:type="auto"/>
        <w:jc w:val="center"/>
        <w:tblLook w:val="04A0" w:firstRow="1" w:lastRow="0" w:firstColumn="1" w:lastColumn="0" w:noHBand="0" w:noVBand="1"/>
      </w:tblPr>
      <w:tblGrid>
        <w:gridCol w:w="3380"/>
        <w:gridCol w:w="2525"/>
        <w:gridCol w:w="3171"/>
      </w:tblGrid>
      <w:tr w:rsidR="00184613" w:rsidRPr="000E1448" w14:paraId="7516D2C4" w14:textId="77777777" w:rsidTr="009B1186">
        <w:trPr>
          <w:jc w:val="center"/>
        </w:trPr>
        <w:tc>
          <w:tcPr>
            <w:tcW w:w="3380" w:type="dxa"/>
          </w:tcPr>
          <w:p w14:paraId="24F453B7" w14:textId="77777777" w:rsidR="00184613" w:rsidRPr="000E1448" w:rsidRDefault="00184613" w:rsidP="009B1186">
            <w:pPr>
              <w:pStyle w:val="Footer"/>
              <w:tabs>
                <w:tab w:val="left" w:pos="1620"/>
                <w:tab w:val="right" w:pos="6120"/>
                <w:tab w:val="left" w:pos="6570"/>
                <w:tab w:val="left" w:pos="10080"/>
                <w:tab w:val="left" w:pos="10800"/>
                <w:tab w:val="left" w:pos="11520"/>
                <w:tab w:val="left" w:pos="12240"/>
                <w:tab w:val="right" w:pos="12960"/>
              </w:tabs>
              <w:rPr>
                <w:sz w:val="21"/>
                <w:szCs w:val="21"/>
              </w:rPr>
            </w:pPr>
          </w:p>
        </w:tc>
        <w:tc>
          <w:tcPr>
            <w:tcW w:w="2525" w:type="dxa"/>
          </w:tcPr>
          <w:p w14:paraId="4C3C4AB4" w14:textId="77777777" w:rsidR="00184613" w:rsidRPr="000E1448" w:rsidRDefault="00184613" w:rsidP="009B1186">
            <w:pPr>
              <w:pStyle w:val="Footer"/>
              <w:tabs>
                <w:tab w:val="left" w:pos="1620"/>
                <w:tab w:val="right" w:pos="6120"/>
                <w:tab w:val="left" w:pos="6570"/>
                <w:tab w:val="left" w:pos="10080"/>
                <w:tab w:val="left" w:pos="10800"/>
                <w:tab w:val="left" w:pos="11520"/>
                <w:tab w:val="left" w:pos="12240"/>
                <w:tab w:val="right" w:pos="12960"/>
              </w:tabs>
              <w:jc w:val="center"/>
              <w:rPr>
                <w:sz w:val="21"/>
                <w:szCs w:val="21"/>
              </w:rPr>
            </w:pPr>
          </w:p>
        </w:tc>
        <w:tc>
          <w:tcPr>
            <w:tcW w:w="3171" w:type="dxa"/>
          </w:tcPr>
          <w:p w14:paraId="400AB036" w14:textId="77777777" w:rsidR="00184613" w:rsidRPr="000E1448" w:rsidRDefault="00184613" w:rsidP="009B1186">
            <w:pPr>
              <w:pStyle w:val="Footer"/>
              <w:tabs>
                <w:tab w:val="left" w:pos="1620"/>
                <w:tab w:val="right" w:pos="6120"/>
                <w:tab w:val="left" w:pos="6570"/>
                <w:tab w:val="left" w:pos="10080"/>
                <w:tab w:val="left" w:pos="10800"/>
                <w:tab w:val="left" w:pos="11520"/>
                <w:tab w:val="left" w:pos="12240"/>
                <w:tab w:val="right" w:pos="12960"/>
              </w:tabs>
              <w:jc w:val="right"/>
              <w:rPr>
                <w:sz w:val="21"/>
                <w:szCs w:val="21"/>
              </w:rPr>
            </w:pPr>
          </w:p>
        </w:tc>
      </w:tr>
    </w:tbl>
    <w:p w14:paraId="07A0B087" w14:textId="77777777" w:rsidR="00184613" w:rsidRPr="000E1448" w:rsidRDefault="00184613" w:rsidP="009D6EA4">
      <w:pPr>
        <w:spacing w:after="0" w:line="20" w:lineRule="exact"/>
        <w:jc w:val="both"/>
        <w:rPr>
          <w:rFonts w:cs="Calibri"/>
          <w:color w:val="1F497D"/>
          <w:sz w:val="21"/>
          <w:szCs w:val="21"/>
          <w:lang w:val="en-GB"/>
        </w:rPr>
      </w:pPr>
    </w:p>
    <w:sectPr w:rsidR="00184613" w:rsidRPr="000E1448" w:rsidSect="004A2274">
      <w:head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F2688" w14:textId="77777777" w:rsidR="003018AD" w:rsidRDefault="003018AD" w:rsidP="00F118F4">
      <w:pPr>
        <w:spacing w:after="0" w:line="240" w:lineRule="auto"/>
      </w:pPr>
      <w:r>
        <w:separator/>
      </w:r>
    </w:p>
  </w:endnote>
  <w:endnote w:type="continuationSeparator" w:id="0">
    <w:p w14:paraId="0A03ACFA" w14:textId="77777777" w:rsidR="003018AD" w:rsidRDefault="003018AD" w:rsidP="00F1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FD6F1" w14:textId="77777777" w:rsidR="003018AD" w:rsidRDefault="003018AD" w:rsidP="00F118F4">
      <w:pPr>
        <w:spacing w:after="0" w:line="240" w:lineRule="auto"/>
      </w:pPr>
      <w:r>
        <w:separator/>
      </w:r>
    </w:p>
  </w:footnote>
  <w:footnote w:type="continuationSeparator" w:id="0">
    <w:p w14:paraId="48E97937" w14:textId="77777777" w:rsidR="003018AD" w:rsidRDefault="003018AD" w:rsidP="00F118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018AD" w14:paraId="49D32CF2" w14:textId="77777777" w:rsidTr="009B1186">
      <w:tc>
        <w:tcPr>
          <w:tcW w:w="4788" w:type="dxa"/>
        </w:tcPr>
        <w:p w14:paraId="574B8DAF" w14:textId="77777777" w:rsidR="003018AD" w:rsidRDefault="003018AD" w:rsidP="009B1186">
          <w:pPr>
            <w:pStyle w:val="Header"/>
            <w:rPr>
              <w:b/>
              <w:bCs/>
            </w:rPr>
          </w:pPr>
          <w:r>
            <w:rPr>
              <w:noProof/>
            </w:rPr>
            <w:drawing>
              <wp:inline distT="0" distB="0" distL="0" distR="0" wp14:anchorId="0AC413CD" wp14:editId="1F386276">
                <wp:extent cx="2080260" cy="52922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B full Logo.jpg"/>
                        <pic:cNvPicPr/>
                      </pic:nvPicPr>
                      <pic:blipFill>
                        <a:blip r:embed="rId1">
                          <a:extLst>
                            <a:ext uri="{28A0092B-C50C-407E-A947-70E740481C1C}">
                              <a14:useLocalDpi xmlns:a14="http://schemas.microsoft.com/office/drawing/2010/main" val="0"/>
                            </a:ext>
                          </a:extLst>
                        </a:blip>
                        <a:stretch>
                          <a:fillRect/>
                        </a:stretch>
                      </pic:blipFill>
                      <pic:spPr>
                        <a:xfrm>
                          <a:off x="0" y="0"/>
                          <a:ext cx="2084204" cy="530228"/>
                        </a:xfrm>
                        <a:prstGeom prst="rect">
                          <a:avLst/>
                        </a:prstGeom>
                      </pic:spPr>
                    </pic:pic>
                  </a:graphicData>
                </a:graphic>
              </wp:inline>
            </w:drawing>
          </w:r>
        </w:p>
      </w:tc>
      <w:tc>
        <w:tcPr>
          <w:tcW w:w="4788" w:type="dxa"/>
        </w:tcPr>
        <w:p w14:paraId="08874E4A" w14:textId="77777777" w:rsidR="003018AD" w:rsidRDefault="003018AD" w:rsidP="009B1186">
          <w:pPr>
            <w:pStyle w:val="Header"/>
            <w:jc w:val="right"/>
            <w:rPr>
              <w:b/>
              <w:bCs/>
            </w:rPr>
          </w:pPr>
          <w:r>
            <w:rPr>
              <w:b/>
              <w:bCs/>
              <w:noProof/>
            </w:rPr>
            <w:drawing>
              <wp:inline distT="0" distB="0" distL="0" distR="0" wp14:anchorId="51260B2E" wp14:editId="3B87B409">
                <wp:extent cx="307104" cy="6296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Blue w TaglineBlue-ENG.png"/>
                        <pic:cNvPicPr/>
                      </pic:nvPicPr>
                      <pic:blipFill>
                        <a:blip r:embed="rId2">
                          <a:extLst>
                            <a:ext uri="{28A0092B-C50C-407E-A947-70E740481C1C}">
                              <a14:useLocalDpi xmlns:a14="http://schemas.microsoft.com/office/drawing/2010/main" val="0"/>
                            </a:ext>
                          </a:extLst>
                        </a:blip>
                        <a:stretch>
                          <a:fillRect/>
                        </a:stretch>
                      </pic:blipFill>
                      <pic:spPr>
                        <a:xfrm>
                          <a:off x="0" y="0"/>
                          <a:ext cx="307224" cy="629929"/>
                        </a:xfrm>
                        <a:prstGeom prst="rect">
                          <a:avLst/>
                        </a:prstGeom>
                      </pic:spPr>
                    </pic:pic>
                  </a:graphicData>
                </a:graphic>
              </wp:inline>
            </w:drawing>
          </w:r>
        </w:p>
      </w:tc>
    </w:tr>
  </w:tbl>
  <w:p w14:paraId="4570255E" w14:textId="77777777" w:rsidR="003018AD" w:rsidRDefault="003018AD" w:rsidP="00FD17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3BE6"/>
    <w:multiLevelType w:val="hybridMultilevel"/>
    <w:tmpl w:val="AC862098"/>
    <w:lvl w:ilvl="0" w:tplc="CB7606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93B7A"/>
    <w:multiLevelType w:val="hybridMultilevel"/>
    <w:tmpl w:val="CBDE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24503"/>
    <w:multiLevelType w:val="hybridMultilevel"/>
    <w:tmpl w:val="9D54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66CC9"/>
    <w:multiLevelType w:val="hybridMultilevel"/>
    <w:tmpl w:val="6A42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B3A67"/>
    <w:multiLevelType w:val="hybridMultilevel"/>
    <w:tmpl w:val="772C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E6EAA"/>
    <w:multiLevelType w:val="hybridMultilevel"/>
    <w:tmpl w:val="CBE00754"/>
    <w:lvl w:ilvl="0" w:tplc="C23277FC">
      <w:start w:val="1"/>
      <w:numFmt w:val="bullet"/>
      <w:lvlText w:val=""/>
      <w:lvlJc w:val="left"/>
      <w:pPr>
        <w:ind w:left="1440" w:hanging="360"/>
      </w:pPr>
      <w:rPr>
        <w:rFonts w:ascii="Symbol" w:hAnsi="Symbol"/>
      </w:rPr>
    </w:lvl>
    <w:lvl w:ilvl="1" w:tplc="672A37E6">
      <w:start w:val="1"/>
      <w:numFmt w:val="bullet"/>
      <w:lvlText w:val="o"/>
      <w:lvlJc w:val="left"/>
      <w:pPr>
        <w:ind w:left="2160" w:hanging="360"/>
      </w:pPr>
      <w:rPr>
        <w:rFonts w:ascii="Courier New" w:hAnsi="Courier New"/>
      </w:rPr>
    </w:lvl>
    <w:lvl w:ilvl="2" w:tplc="BC0CB07E">
      <w:start w:val="1"/>
      <w:numFmt w:val="bullet"/>
      <w:lvlText w:val=""/>
      <w:lvlJc w:val="left"/>
      <w:pPr>
        <w:ind w:left="2880" w:hanging="360"/>
      </w:pPr>
      <w:rPr>
        <w:rFonts w:ascii="Wingdings" w:hAnsi="Wingdings"/>
      </w:rPr>
    </w:lvl>
    <w:lvl w:ilvl="3" w:tplc="4A04F1AA">
      <w:start w:val="1"/>
      <w:numFmt w:val="bullet"/>
      <w:lvlText w:val=""/>
      <w:lvlJc w:val="left"/>
      <w:pPr>
        <w:ind w:left="3600" w:hanging="360"/>
      </w:pPr>
      <w:rPr>
        <w:rFonts w:ascii="Symbol" w:hAnsi="Symbol"/>
      </w:rPr>
    </w:lvl>
    <w:lvl w:ilvl="4" w:tplc="8B0EFB28">
      <w:start w:val="1"/>
      <w:numFmt w:val="bullet"/>
      <w:lvlText w:val="o"/>
      <w:lvlJc w:val="left"/>
      <w:pPr>
        <w:ind w:left="4320" w:hanging="360"/>
      </w:pPr>
      <w:rPr>
        <w:rFonts w:ascii="Courier New" w:hAnsi="Courier New"/>
      </w:rPr>
    </w:lvl>
    <w:lvl w:ilvl="5" w:tplc="AF8296F0">
      <w:start w:val="1"/>
      <w:numFmt w:val="bullet"/>
      <w:lvlText w:val=""/>
      <w:lvlJc w:val="left"/>
      <w:pPr>
        <w:ind w:left="5040" w:hanging="360"/>
      </w:pPr>
      <w:rPr>
        <w:rFonts w:ascii="Wingdings" w:hAnsi="Wingdings"/>
      </w:rPr>
    </w:lvl>
    <w:lvl w:ilvl="6" w:tplc="1F66018E">
      <w:start w:val="1"/>
      <w:numFmt w:val="bullet"/>
      <w:lvlText w:val=""/>
      <w:lvlJc w:val="left"/>
      <w:pPr>
        <w:ind w:left="5760" w:hanging="360"/>
      </w:pPr>
      <w:rPr>
        <w:rFonts w:ascii="Symbol" w:hAnsi="Symbol"/>
      </w:rPr>
    </w:lvl>
    <w:lvl w:ilvl="7" w:tplc="065C4E64">
      <w:start w:val="1"/>
      <w:numFmt w:val="bullet"/>
      <w:lvlText w:val="o"/>
      <w:lvlJc w:val="left"/>
      <w:pPr>
        <w:ind w:left="6480" w:hanging="360"/>
      </w:pPr>
      <w:rPr>
        <w:rFonts w:ascii="Courier New" w:hAnsi="Courier New"/>
      </w:rPr>
    </w:lvl>
    <w:lvl w:ilvl="8" w:tplc="A9C4788A">
      <w:start w:val="1"/>
      <w:numFmt w:val="bullet"/>
      <w:lvlText w:val=""/>
      <w:lvlJc w:val="left"/>
      <w:pPr>
        <w:ind w:left="7200" w:hanging="360"/>
      </w:pPr>
      <w:rPr>
        <w:rFonts w:ascii="Wingdings" w:hAnsi="Wingdings"/>
      </w:rPr>
    </w:lvl>
  </w:abstractNum>
  <w:abstractNum w:abstractNumId="6">
    <w:nsid w:val="6BED245A"/>
    <w:multiLevelType w:val="hybridMultilevel"/>
    <w:tmpl w:val="9D6CB5C2"/>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7">
    <w:nsid w:val="76904C96"/>
    <w:multiLevelType w:val="hybridMultilevel"/>
    <w:tmpl w:val="B4A4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EA58C7"/>
    <w:multiLevelType w:val="hybridMultilevel"/>
    <w:tmpl w:val="E3D2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0"/>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2C"/>
    <w:rsid w:val="0000074A"/>
    <w:rsid w:val="00010775"/>
    <w:rsid w:val="00024BF5"/>
    <w:rsid w:val="000649BC"/>
    <w:rsid w:val="000979AE"/>
    <w:rsid w:val="000B106C"/>
    <w:rsid w:val="000C3984"/>
    <w:rsid w:val="000C6901"/>
    <w:rsid w:val="000C7A1B"/>
    <w:rsid w:val="000E1448"/>
    <w:rsid w:val="001200C2"/>
    <w:rsid w:val="00127180"/>
    <w:rsid w:val="00141C62"/>
    <w:rsid w:val="001423C0"/>
    <w:rsid w:val="001612C9"/>
    <w:rsid w:val="00174789"/>
    <w:rsid w:val="00184613"/>
    <w:rsid w:val="001D011C"/>
    <w:rsid w:val="001E2561"/>
    <w:rsid w:val="001F0484"/>
    <w:rsid w:val="00216412"/>
    <w:rsid w:val="0024027A"/>
    <w:rsid w:val="00253F9B"/>
    <w:rsid w:val="0029463D"/>
    <w:rsid w:val="00300A22"/>
    <w:rsid w:val="003018AD"/>
    <w:rsid w:val="00315D51"/>
    <w:rsid w:val="003319B2"/>
    <w:rsid w:val="003321DB"/>
    <w:rsid w:val="00386AB6"/>
    <w:rsid w:val="003E6D72"/>
    <w:rsid w:val="003F059C"/>
    <w:rsid w:val="003F5017"/>
    <w:rsid w:val="00402FFA"/>
    <w:rsid w:val="00461629"/>
    <w:rsid w:val="0047727C"/>
    <w:rsid w:val="004A2274"/>
    <w:rsid w:val="004B1BB5"/>
    <w:rsid w:val="004D1526"/>
    <w:rsid w:val="004E7EAC"/>
    <w:rsid w:val="004F6F58"/>
    <w:rsid w:val="00510A4E"/>
    <w:rsid w:val="00537435"/>
    <w:rsid w:val="00540D0C"/>
    <w:rsid w:val="00594051"/>
    <w:rsid w:val="005A5A04"/>
    <w:rsid w:val="005F5F75"/>
    <w:rsid w:val="006525CC"/>
    <w:rsid w:val="00674A23"/>
    <w:rsid w:val="006B2B48"/>
    <w:rsid w:val="006B36CC"/>
    <w:rsid w:val="006F24C5"/>
    <w:rsid w:val="00700934"/>
    <w:rsid w:val="0071123C"/>
    <w:rsid w:val="00752A71"/>
    <w:rsid w:val="0075586E"/>
    <w:rsid w:val="00763321"/>
    <w:rsid w:val="007703EA"/>
    <w:rsid w:val="007754C7"/>
    <w:rsid w:val="007A3F66"/>
    <w:rsid w:val="007F3CF5"/>
    <w:rsid w:val="0080390B"/>
    <w:rsid w:val="00814288"/>
    <w:rsid w:val="00840A72"/>
    <w:rsid w:val="0088245C"/>
    <w:rsid w:val="008B618D"/>
    <w:rsid w:val="008C272E"/>
    <w:rsid w:val="008D4788"/>
    <w:rsid w:val="009B1186"/>
    <w:rsid w:val="009D6EA4"/>
    <w:rsid w:val="00A14298"/>
    <w:rsid w:val="00A3093E"/>
    <w:rsid w:val="00AD005A"/>
    <w:rsid w:val="00AD3E8B"/>
    <w:rsid w:val="00B37DBC"/>
    <w:rsid w:val="00B51996"/>
    <w:rsid w:val="00B53FE4"/>
    <w:rsid w:val="00B73FC3"/>
    <w:rsid w:val="00BB73CD"/>
    <w:rsid w:val="00BD3BF6"/>
    <w:rsid w:val="00BE7C8B"/>
    <w:rsid w:val="00C53FAE"/>
    <w:rsid w:val="00C77B2C"/>
    <w:rsid w:val="00C96CEA"/>
    <w:rsid w:val="00CA76CA"/>
    <w:rsid w:val="00CB3860"/>
    <w:rsid w:val="00D70B96"/>
    <w:rsid w:val="00D97E9E"/>
    <w:rsid w:val="00DA2A54"/>
    <w:rsid w:val="00DE0795"/>
    <w:rsid w:val="00DF399B"/>
    <w:rsid w:val="00E20A1B"/>
    <w:rsid w:val="00EB430D"/>
    <w:rsid w:val="00ED06D9"/>
    <w:rsid w:val="00EF226D"/>
    <w:rsid w:val="00F118F4"/>
    <w:rsid w:val="00F262FB"/>
    <w:rsid w:val="00F3677D"/>
    <w:rsid w:val="00FC52F7"/>
    <w:rsid w:val="00FD1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D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7B2C"/>
    <w:pPr>
      <w:spacing w:after="0" w:line="240" w:lineRule="auto"/>
      <w:ind w:left="720"/>
    </w:pPr>
    <w:rPr>
      <w:rFonts w:ascii="Calibri" w:hAnsi="Calibri" w:cs="Calibri"/>
    </w:rPr>
  </w:style>
  <w:style w:type="table" w:customStyle="1" w:styleId="LightList-Accent12">
    <w:name w:val="Light List - Accent 12"/>
    <w:basedOn w:val="TableNormal"/>
    <w:uiPriority w:val="61"/>
    <w:rsid w:val="00C77B2C"/>
    <w:pPr>
      <w:spacing w:after="0" w:line="240" w:lineRule="auto"/>
    </w:pPr>
    <w:rPr>
      <w:rFonts w:ascii="Calibri" w:eastAsia="Calibri" w:hAnsi="Calibri" w:cs="Times New Roman"/>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link w:val="ListParagraph"/>
    <w:uiPriority w:val="34"/>
    <w:locked/>
    <w:rsid w:val="00C77B2C"/>
    <w:rPr>
      <w:rFonts w:ascii="Calibri" w:eastAsiaTheme="minorEastAsia" w:hAnsi="Calibri" w:cs="Calibri"/>
    </w:rPr>
  </w:style>
  <w:style w:type="character" w:styleId="CommentReference">
    <w:name w:val="annotation reference"/>
    <w:basedOn w:val="DefaultParagraphFont"/>
    <w:uiPriority w:val="99"/>
    <w:semiHidden/>
    <w:unhideWhenUsed/>
    <w:rsid w:val="00D70B96"/>
    <w:rPr>
      <w:sz w:val="16"/>
      <w:szCs w:val="16"/>
    </w:rPr>
  </w:style>
  <w:style w:type="paragraph" w:styleId="CommentText">
    <w:name w:val="annotation text"/>
    <w:basedOn w:val="Normal"/>
    <w:link w:val="CommentTextChar"/>
    <w:uiPriority w:val="99"/>
    <w:semiHidden/>
    <w:unhideWhenUsed/>
    <w:rsid w:val="00D70B96"/>
    <w:pPr>
      <w:spacing w:line="240" w:lineRule="auto"/>
    </w:pPr>
    <w:rPr>
      <w:sz w:val="20"/>
      <w:szCs w:val="20"/>
    </w:rPr>
  </w:style>
  <w:style w:type="character" w:customStyle="1" w:styleId="CommentTextChar">
    <w:name w:val="Comment Text Char"/>
    <w:basedOn w:val="DefaultParagraphFont"/>
    <w:link w:val="CommentText"/>
    <w:uiPriority w:val="99"/>
    <w:semiHidden/>
    <w:rsid w:val="00D70B9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70B96"/>
    <w:rPr>
      <w:b/>
      <w:bCs/>
    </w:rPr>
  </w:style>
  <w:style w:type="character" w:customStyle="1" w:styleId="CommentSubjectChar">
    <w:name w:val="Comment Subject Char"/>
    <w:basedOn w:val="CommentTextChar"/>
    <w:link w:val="CommentSubject"/>
    <w:uiPriority w:val="99"/>
    <w:semiHidden/>
    <w:rsid w:val="00D70B96"/>
    <w:rPr>
      <w:rFonts w:eastAsiaTheme="minorEastAsia"/>
      <w:b/>
      <w:bCs/>
      <w:sz w:val="20"/>
      <w:szCs w:val="20"/>
    </w:rPr>
  </w:style>
  <w:style w:type="paragraph" w:styleId="BalloonText">
    <w:name w:val="Balloon Text"/>
    <w:basedOn w:val="Normal"/>
    <w:link w:val="BalloonTextChar"/>
    <w:uiPriority w:val="99"/>
    <w:semiHidden/>
    <w:unhideWhenUsed/>
    <w:rsid w:val="00D7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96"/>
    <w:rPr>
      <w:rFonts w:ascii="Tahoma" w:eastAsiaTheme="minorEastAsia" w:hAnsi="Tahoma" w:cs="Tahoma"/>
      <w:sz w:val="16"/>
      <w:szCs w:val="16"/>
    </w:rPr>
  </w:style>
  <w:style w:type="paragraph" w:styleId="Header">
    <w:name w:val="header"/>
    <w:basedOn w:val="Normal"/>
    <w:link w:val="HeaderChar"/>
    <w:uiPriority w:val="99"/>
    <w:unhideWhenUsed/>
    <w:rsid w:val="00F1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F4"/>
    <w:rPr>
      <w:rFonts w:eastAsiaTheme="minorEastAsia"/>
    </w:rPr>
  </w:style>
  <w:style w:type="paragraph" w:styleId="Footer">
    <w:name w:val="footer"/>
    <w:basedOn w:val="Normal"/>
    <w:link w:val="FooterChar"/>
    <w:uiPriority w:val="99"/>
    <w:unhideWhenUsed/>
    <w:rsid w:val="00F1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F4"/>
    <w:rPr>
      <w:rFonts w:eastAsiaTheme="minorEastAsia"/>
    </w:rPr>
  </w:style>
  <w:style w:type="table" w:styleId="TableGrid">
    <w:name w:val="Table Grid"/>
    <w:basedOn w:val="TableNormal"/>
    <w:uiPriority w:val="59"/>
    <w:rsid w:val="00FD1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BUR text"/>
    <w:link w:val="NoSpacingChar"/>
    <w:uiPriority w:val="1"/>
    <w:qFormat/>
    <w:rsid w:val="00300A22"/>
    <w:pPr>
      <w:spacing w:after="0" w:line="240" w:lineRule="auto"/>
    </w:pPr>
  </w:style>
  <w:style w:type="character" w:customStyle="1" w:styleId="NoSpacingChar">
    <w:name w:val="No Spacing Char"/>
    <w:aliases w:val="BUR text Char"/>
    <w:link w:val="NoSpacing"/>
    <w:uiPriority w:val="1"/>
    <w:rsid w:val="00174789"/>
  </w:style>
  <w:style w:type="paragraph" w:styleId="NormalWeb">
    <w:name w:val="Normal (Web)"/>
    <w:basedOn w:val="Normal"/>
    <w:uiPriority w:val="99"/>
    <w:semiHidden/>
    <w:unhideWhenUsed/>
    <w:rsid w:val="000E14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7B2C"/>
    <w:pPr>
      <w:spacing w:after="0" w:line="240" w:lineRule="auto"/>
      <w:ind w:left="720"/>
    </w:pPr>
    <w:rPr>
      <w:rFonts w:ascii="Calibri" w:hAnsi="Calibri" w:cs="Calibri"/>
    </w:rPr>
  </w:style>
  <w:style w:type="table" w:customStyle="1" w:styleId="LightList-Accent12">
    <w:name w:val="Light List - Accent 12"/>
    <w:basedOn w:val="TableNormal"/>
    <w:uiPriority w:val="61"/>
    <w:rsid w:val="00C77B2C"/>
    <w:pPr>
      <w:spacing w:after="0" w:line="240" w:lineRule="auto"/>
    </w:pPr>
    <w:rPr>
      <w:rFonts w:ascii="Calibri" w:eastAsia="Calibri" w:hAnsi="Calibri" w:cs="Times New Roman"/>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link w:val="ListParagraph"/>
    <w:uiPriority w:val="34"/>
    <w:locked/>
    <w:rsid w:val="00C77B2C"/>
    <w:rPr>
      <w:rFonts w:ascii="Calibri" w:eastAsiaTheme="minorEastAsia" w:hAnsi="Calibri" w:cs="Calibri"/>
    </w:rPr>
  </w:style>
  <w:style w:type="character" w:styleId="CommentReference">
    <w:name w:val="annotation reference"/>
    <w:basedOn w:val="DefaultParagraphFont"/>
    <w:uiPriority w:val="99"/>
    <w:semiHidden/>
    <w:unhideWhenUsed/>
    <w:rsid w:val="00D70B96"/>
    <w:rPr>
      <w:sz w:val="16"/>
      <w:szCs w:val="16"/>
    </w:rPr>
  </w:style>
  <w:style w:type="paragraph" w:styleId="CommentText">
    <w:name w:val="annotation text"/>
    <w:basedOn w:val="Normal"/>
    <w:link w:val="CommentTextChar"/>
    <w:uiPriority w:val="99"/>
    <w:semiHidden/>
    <w:unhideWhenUsed/>
    <w:rsid w:val="00D70B96"/>
    <w:pPr>
      <w:spacing w:line="240" w:lineRule="auto"/>
    </w:pPr>
    <w:rPr>
      <w:sz w:val="20"/>
      <w:szCs w:val="20"/>
    </w:rPr>
  </w:style>
  <w:style w:type="character" w:customStyle="1" w:styleId="CommentTextChar">
    <w:name w:val="Comment Text Char"/>
    <w:basedOn w:val="DefaultParagraphFont"/>
    <w:link w:val="CommentText"/>
    <w:uiPriority w:val="99"/>
    <w:semiHidden/>
    <w:rsid w:val="00D70B9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70B96"/>
    <w:rPr>
      <w:b/>
      <w:bCs/>
    </w:rPr>
  </w:style>
  <w:style w:type="character" w:customStyle="1" w:styleId="CommentSubjectChar">
    <w:name w:val="Comment Subject Char"/>
    <w:basedOn w:val="CommentTextChar"/>
    <w:link w:val="CommentSubject"/>
    <w:uiPriority w:val="99"/>
    <w:semiHidden/>
    <w:rsid w:val="00D70B96"/>
    <w:rPr>
      <w:rFonts w:eastAsiaTheme="minorEastAsia"/>
      <w:b/>
      <w:bCs/>
      <w:sz w:val="20"/>
      <w:szCs w:val="20"/>
    </w:rPr>
  </w:style>
  <w:style w:type="paragraph" w:styleId="BalloonText">
    <w:name w:val="Balloon Text"/>
    <w:basedOn w:val="Normal"/>
    <w:link w:val="BalloonTextChar"/>
    <w:uiPriority w:val="99"/>
    <w:semiHidden/>
    <w:unhideWhenUsed/>
    <w:rsid w:val="00D70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96"/>
    <w:rPr>
      <w:rFonts w:ascii="Tahoma" w:eastAsiaTheme="minorEastAsia" w:hAnsi="Tahoma" w:cs="Tahoma"/>
      <w:sz w:val="16"/>
      <w:szCs w:val="16"/>
    </w:rPr>
  </w:style>
  <w:style w:type="paragraph" w:styleId="Header">
    <w:name w:val="header"/>
    <w:basedOn w:val="Normal"/>
    <w:link w:val="HeaderChar"/>
    <w:uiPriority w:val="99"/>
    <w:unhideWhenUsed/>
    <w:rsid w:val="00F1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F4"/>
    <w:rPr>
      <w:rFonts w:eastAsiaTheme="minorEastAsia"/>
    </w:rPr>
  </w:style>
  <w:style w:type="paragraph" w:styleId="Footer">
    <w:name w:val="footer"/>
    <w:basedOn w:val="Normal"/>
    <w:link w:val="FooterChar"/>
    <w:uiPriority w:val="99"/>
    <w:unhideWhenUsed/>
    <w:rsid w:val="00F1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F4"/>
    <w:rPr>
      <w:rFonts w:eastAsiaTheme="minorEastAsia"/>
    </w:rPr>
  </w:style>
  <w:style w:type="table" w:styleId="TableGrid">
    <w:name w:val="Table Grid"/>
    <w:basedOn w:val="TableNormal"/>
    <w:uiPriority w:val="59"/>
    <w:rsid w:val="00FD1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BUR text"/>
    <w:link w:val="NoSpacingChar"/>
    <w:uiPriority w:val="1"/>
    <w:qFormat/>
    <w:rsid w:val="00300A22"/>
    <w:pPr>
      <w:spacing w:after="0" w:line="240" w:lineRule="auto"/>
    </w:pPr>
  </w:style>
  <w:style w:type="character" w:customStyle="1" w:styleId="NoSpacingChar">
    <w:name w:val="No Spacing Char"/>
    <w:aliases w:val="BUR text Char"/>
    <w:link w:val="NoSpacing"/>
    <w:uiPriority w:val="1"/>
    <w:rsid w:val="00174789"/>
  </w:style>
  <w:style w:type="paragraph" w:styleId="NormalWeb">
    <w:name w:val="Normal (Web)"/>
    <w:basedOn w:val="Normal"/>
    <w:uiPriority w:val="99"/>
    <w:semiHidden/>
    <w:unhideWhenUsed/>
    <w:rsid w:val="000E14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18" Type="http://schemas.openxmlformats.org/officeDocument/2006/relationships/customXml" Target="../customXml/item5.xm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2015-09-18T13:00:00+00:00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00065880</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ATLASPDC-4-38650</_dlc_DocId>
    <_dlc_DocIdUrl xmlns="f1161f5b-24a3-4c2d-bc81-44cb9325e8ee">
      <Url>https://info.undp.org/docs/pdc/_layouts/DocIdRedir.aspx?ID=ATLASPDC-4-38650</Url>
      <Description>ATLASPDC-4-38650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BDE2D48-C388-4256-A3B6-3312783220FD}"/>
</file>

<file path=customXml/itemProps2.xml><?xml version="1.0" encoding="utf-8"?>
<ds:datastoreItem xmlns:ds="http://schemas.openxmlformats.org/officeDocument/2006/customXml" ds:itemID="{3B000591-5933-44CC-82A2-33F6044A5E1A}"/>
</file>

<file path=customXml/itemProps3.xml><?xml version="1.0" encoding="utf-8"?>
<ds:datastoreItem xmlns:ds="http://schemas.openxmlformats.org/officeDocument/2006/customXml" ds:itemID="{5A10D057-5412-454E-B655-01204F5108C9}"/>
</file>

<file path=customXml/itemProps4.xml><?xml version="1.0" encoding="utf-8"?>
<ds:datastoreItem xmlns:ds="http://schemas.openxmlformats.org/officeDocument/2006/customXml" ds:itemID="{6DA2F571-CDD0-46A5-861B-DC75C7F735CC}"/>
</file>

<file path=customXml/itemProps5.xml><?xml version="1.0" encoding="utf-8"?>
<ds:datastoreItem xmlns:ds="http://schemas.openxmlformats.org/officeDocument/2006/customXml" ds:itemID="{317DFAE1-6633-414F-B2F1-0818CD01E63E}"/>
</file>

<file path=docProps/app.xml><?xml version="1.0" encoding="utf-8"?>
<Properties xmlns="http://schemas.openxmlformats.org/officeDocument/2006/extended-properties" xmlns:vt="http://schemas.openxmlformats.org/officeDocument/2006/docPropsVTypes">
  <Template>Normal.dotm</Template>
  <TotalTime>175</TotalTime>
  <Pages>1</Pages>
  <Words>458</Words>
  <Characters>2614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Carman</dc:creator>
  <cp:lastModifiedBy>tutu daniel</cp:lastModifiedBy>
  <cp:revision>25</cp:revision>
  <dcterms:created xsi:type="dcterms:W3CDTF">2013-12-13T17:40:00Z</dcterms:created>
  <dcterms:modified xsi:type="dcterms:W3CDTF">2014-11-17T17:09:00Z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3865b9c8-897f-40bf-9986-307a5bb22f1c</vt:lpwstr>
  </property>
  <property fmtid="{D5CDD505-2E9C-101B-9397-08002B2CF9AE}" pid="18" name="URL">
    <vt:lpwstr/>
  </property>
  <property fmtid="{D5CDD505-2E9C-101B-9397-08002B2CF9AE}" pid="19" name="DocumentSetDescription">
    <vt:lpwstr/>
  </property>
</Properties>
</file>